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rPr>
          <w:kern w:val="0"/>
          <w:sz w:val="30"/>
          <w:szCs w:val="30"/>
        </w:rPr>
      </w:pPr>
    </w:p>
    <w:p>
      <w:pPr>
        <w:pStyle w:val="49"/>
        <w:spacing w:line="540" w:lineRule="exact"/>
        <w:rPr>
          <w:kern w:val="0"/>
          <w:sz w:val="30"/>
          <w:szCs w:val="30"/>
        </w:rPr>
      </w:pPr>
    </w:p>
    <w:p>
      <w:pPr>
        <w:pStyle w:val="49"/>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2018年税务经费项目</w:t>
      </w:r>
    </w:p>
    <w:p>
      <w:pPr>
        <w:pStyle w:val="49"/>
        <w:spacing w:line="70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塔什库尔干县财政局</w:t>
      </w:r>
    </w:p>
    <w:p>
      <w:pPr>
        <w:pStyle w:val="49"/>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塔什库尔干县人民政府</w:t>
      </w:r>
    </w:p>
    <w:p>
      <w:pPr>
        <w:pStyle w:val="49"/>
        <w:spacing w:line="700" w:lineRule="exact"/>
        <w:ind w:firstLine="720" w:firstLineChars="200"/>
        <w:jc w:val="left"/>
        <w:rPr>
          <w:rFonts w:hint="eastAsia"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范军</w:t>
      </w:r>
    </w:p>
    <w:p>
      <w:pPr>
        <w:pStyle w:val="49"/>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30</w:t>
      </w:r>
      <w:r>
        <w:rPr>
          <w:rFonts w:ascii="仿宋_GB2312" w:hAnsi="仿宋_GB2312" w:eastAsia="仿宋_GB2312" w:cs="仿宋_GB2312"/>
          <w:kern w:val="0"/>
          <w:sz w:val="36"/>
          <w:szCs w:val="36"/>
          <w:lang w:val="zh-TW" w:eastAsia="zh-TW"/>
        </w:rPr>
        <w:t>日</w:t>
      </w:r>
    </w:p>
    <w:p>
      <w:pPr>
        <w:pStyle w:val="49"/>
        <w:spacing w:line="700" w:lineRule="exact"/>
        <w:ind w:firstLine="624" w:firstLineChars="200"/>
        <w:jc w:val="left"/>
        <w:rPr>
          <w:rStyle w:val="19"/>
          <w:rFonts w:hint="eastAsia" w:ascii="黑体" w:hAnsi="黑体" w:eastAsia="黑体"/>
          <w:b w:val="0"/>
          <w:spacing w:val="-4"/>
          <w:sz w:val="32"/>
          <w:szCs w:val="32"/>
        </w:rPr>
      </w:pPr>
    </w:p>
    <w:p>
      <w:pPr>
        <w:pStyle w:val="49"/>
        <w:spacing w:line="700" w:lineRule="exact"/>
        <w:ind w:firstLine="624" w:firstLineChars="200"/>
        <w:jc w:val="left"/>
        <w:rPr>
          <w:rStyle w:val="19"/>
          <w:rFonts w:hint="eastAsia" w:ascii="黑体" w:hAnsi="黑体" w:eastAsia="黑体"/>
          <w:b w:val="0"/>
          <w:spacing w:val="-4"/>
          <w:sz w:val="32"/>
          <w:szCs w:val="32"/>
        </w:rPr>
      </w:pPr>
    </w:p>
    <w:p>
      <w:pPr>
        <w:pStyle w:val="49"/>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60" w:lineRule="exact"/>
        <w:rPr>
          <w:rFonts w:hint="eastAsia" w:ascii="仿宋" w:hAnsi="仿宋" w:eastAsia="仿宋" w:cs="仿宋"/>
          <w:sz w:val="32"/>
          <w:szCs w:val="32"/>
        </w:rPr>
      </w:pPr>
      <w:r>
        <w:rPr>
          <w:rFonts w:hint="eastAsia" w:ascii="仿宋" w:hAnsi="仿宋" w:eastAsia="仿宋" w:cs="仿宋"/>
          <w:sz w:val="32"/>
          <w:szCs w:val="32"/>
        </w:rPr>
        <w:t>主要职能：塔什库尔干县财政局职能主要有：全县财政收支、财税政策、实施财政监督、拟定和执行本县政府采购政策、政府非税收入管理、国库管理有关工作、国有资产管理制度、编制年度预决算草案就组织执行等。参与制定我县各项经济等方面政策、法规、研究起草、制定和组织实施我县相关地方性建设工作。</w:t>
      </w:r>
    </w:p>
    <w:p>
      <w:pPr>
        <w:spacing w:line="560" w:lineRule="exac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机构设置情况</w:t>
      </w:r>
      <w:r>
        <w:rPr>
          <w:rFonts w:hint="eastAsia" w:ascii="仿宋" w:hAnsi="仿宋" w:eastAsia="仿宋" w:cs="仿宋"/>
          <w:sz w:val="32"/>
          <w:szCs w:val="32"/>
          <w:lang w:val="en-US" w:eastAsia="zh-CN"/>
        </w:rPr>
        <w:t>:</w:t>
      </w:r>
      <w:r>
        <w:rPr>
          <w:rFonts w:hint="eastAsia" w:ascii="仿宋" w:hAnsi="仿宋" w:eastAsia="仿宋" w:cs="仿宋"/>
          <w:sz w:val="32"/>
          <w:szCs w:val="32"/>
        </w:rPr>
        <w:t>塔什库尔干县财政局单位性质为行政单位全额拨款，执行会计制度为行政会计制度，独立编制机构2个，内设机构有：塔什库尔干县财政局（本级）、塔什库尔干县工资统发中心、塔什库尔干县政府采购中心。</w:t>
      </w:r>
    </w:p>
    <w:p>
      <w:pPr>
        <w:numPr>
          <w:ilvl w:val="0"/>
          <w:numId w:val="0"/>
        </w:numPr>
        <w:spacing w:line="560" w:lineRule="exac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机构人员情况：编制21人（按照编委文件填报），实有在职人数17人，退休0人，属于一般公共预算财政拨款（补助）开支17人，其中：在职17人，退休0人。</w:t>
      </w:r>
    </w:p>
    <w:p>
      <w:pPr>
        <w:adjustRightInd w:val="0"/>
        <w:snapToGrid w:val="0"/>
        <w:spacing w:line="560" w:lineRule="exact"/>
        <w:ind w:firstLine="627" w:firstLineChars="200"/>
        <w:rPr>
          <w:rStyle w:val="19"/>
          <w:rFonts w:ascii="楷体" w:hAnsi="楷体" w:eastAsia="楷体"/>
          <w:spacing w:val="-4"/>
          <w:sz w:val="32"/>
          <w:szCs w:val="32"/>
        </w:rPr>
      </w:pPr>
      <w:bookmarkStart w:id="1" w:name="_GoBack"/>
      <w:bookmarkEnd w:id="1"/>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spacing w:val="-4"/>
          <w:sz w:val="32"/>
          <w:szCs w:val="32"/>
        </w:rPr>
      </w:pPr>
      <w:bookmarkStart w:id="0" w:name="_Toc405279309"/>
      <w:r>
        <w:rPr>
          <w:rFonts w:hint="eastAsia" w:ascii="仿宋" w:hAnsi="仿宋" w:eastAsia="仿宋"/>
          <w:bCs/>
          <w:spacing w:val="-4"/>
          <w:sz w:val="32"/>
          <w:szCs w:val="32"/>
        </w:rPr>
        <w:t>在</w:t>
      </w:r>
      <w:r>
        <w:rPr>
          <w:rFonts w:hint="eastAsia" w:ascii="仿宋" w:hAnsi="仿宋" w:eastAsia="仿宋"/>
          <w:bCs/>
          <w:spacing w:val="-4"/>
          <w:sz w:val="32"/>
          <w:szCs w:val="32"/>
          <w:lang w:val="en-US" w:eastAsia="zh-CN"/>
        </w:rPr>
        <w:t>2018</w:t>
      </w:r>
      <w:r>
        <w:rPr>
          <w:rFonts w:hint="eastAsia" w:ascii="仿宋" w:hAnsi="仿宋" w:eastAsia="仿宋"/>
          <w:bCs/>
          <w:spacing w:val="-4"/>
          <w:sz w:val="32"/>
          <w:szCs w:val="32"/>
        </w:rPr>
        <w:t>年</w:t>
      </w:r>
      <w:r>
        <w:rPr>
          <w:rFonts w:hint="eastAsia" w:ascii="仿宋" w:hAnsi="仿宋" w:eastAsia="仿宋"/>
          <w:bCs/>
          <w:spacing w:val="-4"/>
          <w:sz w:val="32"/>
          <w:szCs w:val="32"/>
          <w:lang w:val="en-US" w:eastAsia="zh-CN"/>
        </w:rPr>
        <w:t>12</w:t>
      </w:r>
      <w:r>
        <w:rPr>
          <w:rFonts w:hint="eastAsia" w:ascii="仿宋" w:hAnsi="仿宋" w:eastAsia="仿宋"/>
          <w:bCs/>
          <w:spacing w:val="-4"/>
          <w:sz w:val="32"/>
          <w:szCs w:val="32"/>
        </w:rPr>
        <w:t>月完成税收收入的全额任务5119万元，每月按时召开财税联席工作会议和按月进行税收收入任务考核</w:t>
      </w:r>
      <w:r>
        <w:rPr>
          <w:rFonts w:ascii="仿宋" w:hAnsi="仿宋" w:eastAsia="仿宋"/>
          <w:bCs/>
          <w:spacing w:val="-4"/>
          <w:sz w:val="32"/>
          <w:szCs w:val="32"/>
        </w:rPr>
        <w:t>。</w:t>
      </w:r>
      <w:bookmarkEnd w:id="0"/>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本项目性质为新增项目。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主要用于2018年税务部门的税收征收经费。</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2018年税务经费项目预算安排总额为3万元，其中财政资金</w:t>
      </w:r>
      <w:r>
        <w:rPr>
          <w:rFonts w:hint="eastAsia" w:ascii="仿宋" w:hAnsi="仿宋" w:eastAsia="仿宋"/>
          <w:bCs/>
          <w:spacing w:val="-4"/>
          <w:sz w:val="32"/>
          <w:szCs w:val="32"/>
          <w:lang w:val="en-US" w:eastAsia="zh-CN"/>
        </w:rPr>
        <w:t>3</w:t>
      </w:r>
      <w:r>
        <w:rPr>
          <w:rFonts w:hint="eastAsia" w:ascii="仿宋" w:hAnsi="仿宋" w:eastAsia="仿宋"/>
          <w:bCs/>
          <w:spacing w:val="-4"/>
          <w:sz w:val="32"/>
          <w:szCs w:val="32"/>
        </w:rPr>
        <w:t>万元，2018年实际收到预算资金3万元。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本项目实际支付资金3万元，预算执行率100.00</w:t>
      </w:r>
      <w:r>
        <w:rPr>
          <w:rFonts w:ascii="仿宋" w:hAnsi="仿宋" w:eastAsia="仿宋"/>
          <w:bCs/>
          <w:spacing w:val="-4"/>
          <w:sz w:val="32"/>
          <w:szCs w:val="32"/>
        </w:rPr>
        <w:t>%</w:t>
      </w:r>
      <w:r>
        <w:rPr>
          <w:rFonts w:hint="eastAsia" w:ascii="仿宋" w:hAnsi="仿宋" w:eastAsia="仿宋"/>
          <w:bCs/>
          <w:spacing w:val="-4"/>
          <w:sz w:val="32"/>
          <w:szCs w:val="32"/>
        </w:rPr>
        <w:t>。项目资金主要用于支付2018年税务经费用3万元。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支出符合新疆喀什地区塔什库尔干县财政国库集中支付相关财务管理制度，符合国家财经法规和财务管理制度以及有关资金管理办法的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该项目属于经常性零星项目,没有达到招投标限额,由本单位自行组织实施。实施过程均按照本单位制定的管理制度执行。</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实施过程中，塔什库尔干县财政局制定了财政资金要通过集中支付制度，项目的实施遵守相关法律法规和业务管理规定。已建立《财税联席工作会议制度》，不定期对税务征收情况进度情况进行核查，及时与税务部门对接完成全年收入任务。</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lang w:val="en-US" w:eastAsia="zh-CN"/>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lang w:val="en-US" w:eastAsia="zh-CN"/>
        </w:rPr>
        <w:t>9</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lang w:val="en-US" w:eastAsia="zh-CN"/>
        </w:rPr>
        <w:t>9</w:t>
      </w:r>
      <w:r>
        <w:rPr>
          <w:rFonts w:ascii="仿宋" w:hAnsi="仿宋" w:eastAsia="仿宋"/>
          <w:bCs/>
          <w:spacing w:val="-4"/>
          <w:sz w:val="32"/>
          <w:szCs w:val="32"/>
        </w:rPr>
        <w:t>个</w:t>
      </w:r>
      <w:r>
        <w:rPr>
          <w:rFonts w:hint="eastAsia" w:ascii="仿宋" w:hAnsi="仿宋" w:eastAsia="仿宋"/>
          <w:bCs/>
          <w:spacing w:val="-4"/>
          <w:sz w:val="32"/>
          <w:szCs w:val="32"/>
        </w:rPr>
        <w:t>，指标完成率为100.00%。</w:t>
      </w:r>
    </w:p>
    <w:p>
      <w:pPr>
        <w:adjustRightInd w:val="0"/>
        <w:snapToGrid w:val="0"/>
        <w:spacing w:line="560" w:lineRule="exact"/>
        <w:ind w:firstLine="624" w:firstLineChars="200"/>
        <w:rPr>
          <w:rStyle w:val="19"/>
          <w:rFonts w:hint="eastAsia" w:ascii="仿宋" w:hAnsi="仿宋" w:eastAsia="仿宋"/>
          <w:b w:val="0"/>
          <w:spacing w:val="-4"/>
          <w:sz w:val="32"/>
          <w:szCs w:val="32"/>
          <w:lang w:eastAsia="zh-CN"/>
        </w:rPr>
      </w:pPr>
      <w:r>
        <w:rPr>
          <w:rStyle w:val="19"/>
          <w:rFonts w:hint="eastAsia" w:ascii="仿宋" w:hAnsi="仿宋" w:eastAsia="仿宋"/>
          <w:b w:val="0"/>
          <w:spacing w:val="-4"/>
          <w:sz w:val="32"/>
          <w:szCs w:val="32"/>
        </w:rPr>
        <w:t>经济性：</w:t>
      </w:r>
      <w:r>
        <w:rPr>
          <w:rStyle w:val="19"/>
          <w:rFonts w:hint="eastAsia" w:ascii="仿宋" w:hAnsi="仿宋" w:eastAsia="仿宋"/>
          <w:b w:val="0"/>
          <w:spacing w:val="-4"/>
          <w:sz w:val="32"/>
          <w:szCs w:val="32"/>
          <w:lang w:eastAsia="zh-CN"/>
        </w:rPr>
        <w:t>按</w:t>
      </w:r>
      <w:r>
        <w:rPr>
          <w:rStyle w:val="19"/>
          <w:rFonts w:hint="eastAsia" w:ascii="仿宋" w:hAnsi="仿宋" w:eastAsia="仿宋"/>
          <w:b w:val="0"/>
          <w:spacing w:val="-4"/>
          <w:sz w:val="32"/>
          <w:szCs w:val="32"/>
        </w:rPr>
        <w:t>税务经费标准</w:t>
      </w:r>
      <w:r>
        <w:rPr>
          <w:rStyle w:val="19"/>
          <w:rFonts w:hint="eastAsia" w:ascii="仿宋" w:hAnsi="仿宋" w:eastAsia="仿宋"/>
          <w:b w:val="0"/>
          <w:spacing w:val="-4"/>
          <w:sz w:val="32"/>
          <w:szCs w:val="32"/>
          <w:lang w:eastAsia="zh-CN"/>
        </w:rPr>
        <w:t>将经费用于保障税宣传、信息化建设、征管业务费、教育培训等工作，合理控制费用。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效率性：按月按要求完成地区财政局下达的收入进度。</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Style w:val="19"/>
          <w:rFonts w:hint="eastAsia" w:ascii="仿宋" w:hAnsi="仿宋" w:eastAsia="仿宋"/>
          <w:b w:val="0"/>
          <w:spacing w:val="-4"/>
          <w:sz w:val="32"/>
          <w:szCs w:val="32"/>
        </w:rPr>
        <w:t>效益性：</w:t>
      </w:r>
      <w:r>
        <w:rPr>
          <w:rStyle w:val="19"/>
          <w:rFonts w:hint="eastAsia" w:ascii="仿宋" w:hAnsi="仿宋" w:eastAsia="仿宋"/>
          <w:b w:val="0"/>
          <w:spacing w:val="-4"/>
          <w:sz w:val="32"/>
          <w:szCs w:val="32"/>
          <w:lang w:eastAsia="zh-CN"/>
        </w:rPr>
        <w:t>保障各级单位正常运转。</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不存在未完成情况</w:t>
      </w:r>
      <w:r>
        <w:rPr>
          <w:rFonts w:ascii="仿宋" w:hAnsi="仿宋" w:eastAsia="仿宋"/>
          <w:spacing w:val="-4"/>
          <w:sz w:val="32"/>
          <w:szCs w:val="32"/>
        </w:rPr>
        <w:t>:</w:t>
      </w:r>
      <w:r>
        <w:rPr>
          <w:rFonts w:hint="eastAsia" w:ascii="仿宋" w:hAnsi="仿宋" w:eastAsia="仿宋"/>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继续与税务部门对接，寻找新的税源和征收点，持续做好税收征收工作，做到应收尽收。</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tabs>
          <w:tab w:val="left" w:pos="1123"/>
        </w:tabs>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主要用于</w:t>
      </w:r>
      <w:r>
        <w:rPr>
          <w:rFonts w:hint="eastAsia" w:ascii="仿宋" w:hAnsi="仿宋" w:eastAsia="仿宋"/>
          <w:spacing w:val="-4"/>
          <w:sz w:val="32"/>
          <w:szCs w:val="32"/>
        </w:rPr>
        <w:t>税务部门征税</w:t>
      </w:r>
      <w:r>
        <w:rPr>
          <w:rFonts w:hint="eastAsia" w:ascii="仿宋" w:hAnsi="仿宋" w:eastAsia="仿宋"/>
          <w:bCs/>
          <w:spacing w:val="-4"/>
          <w:sz w:val="32"/>
          <w:szCs w:val="32"/>
          <w:lang w:eastAsia="zh-CN"/>
        </w:rPr>
        <w:t>信息化建设、征管业务费、教育培训等方面。</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无</w:t>
      </w:r>
      <w:r>
        <w:rPr>
          <w:rFonts w:hint="eastAsia" w:ascii="仿宋" w:hAnsi="仿宋" w:eastAsia="仿宋"/>
          <w:bCs/>
          <w:spacing w:val="-4"/>
          <w:sz w:val="32"/>
          <w:szCs w:val="32"/>
          <w:lang w:eastAsia="zh-CN"/>
        </w:rPr>
        <w:t>。</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3、建议</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对于保障税宣传、信息化建设、征管业务费、教育培训等工作依据实际情况可适当调节力度。</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pStyle w:val="16"/>
        <w:spacing w:before="0" w:beforeAutospacing="0" w:after="0" w:afterAutospacing="0" w:line="528" w:lineRule="atLeast"/>
        <w:ind w:firstLine="480"/>
        <w:jc w:val="both"/>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本次评价通过文件研读、实地调研、数据分析等方式，全面了解2018年税务经费项目资金的使用效率和效果，全年共支出71万元，主要用于税务部门征税工作费用支出。</w:t>
      </w:r>
      <w:r>
        <w:rPr>
          <w:rFonts w:hint="eastAsia" w:ascii="仿宋" w:hAnsi="仿宋" w:eastAsia="仿宋" w:cs="仿宋"/>
          <w:color w:val="auto"/>
          <w:spacing w:val="-4"/>
          <w:sz w:val="32"/>
          <w:szCs w:val="32"/>
        </w:rPr>
        <w:t>项目管理过程规范，完成了预期绩效目标。</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926AE"/>
    <w:rsid w:val="0012208E"/>
    <w:rsid w:val="00135256"/>
    <w:rsid w:val="001A4E1F"/>
    <w:rsid w:val="001A57B9"/>
    <w:rsid w:val="001C3847"/>
    <w:rsid w:val="001F3031"/>
    <w:rsid w:val="00210A26"/>
    <w:rsid w:val="002530E4"/>
    <w:rsid w:val="002A2532"/>
    <w:rsid w:val="002A2D76"/>
    <w:rsid w:val="002F7B70"/>
    <w:rsid w:val="00365250"/>
    <w:rsid w:val="0036624C"/>
    <w:rsid w:val="00385849"/>
    <w:rsid w:val="003D2F71"/>
    <w:rsid w:val="003F1A98"/>
    <w:rsid w:val="00412E09"/>
    <w:rsid w:val="004268E6"/>
    <w:rsid w:val="004C7D21"/>
    <w:rsid w:val="004E39D7"/>
    <w:rsid w:val="0050167F"/>
    <w:rsid w:val="00514506"/>
    <w:rsid w:val="005162F1"/>
    <w:rsid w:val="00516E80"/>
    <w:rsid w:val="00535153"/>
    <w:rsid w:val="00575CFE"/>
    <w:rsid w:val="00583AFC"/>
    <w:rsid w:val="00592D09"/>
    <w:rsid w:val="005D137D"/>
    <w:rsid w:val="00641026"/>
    <w:rsid w:val="00645662"/>
    <w:rsid w:val="00675D58"/>
    <w:rsid w:val="006C4599"/>
    <w:rsid w:val="006F2E6D"/>
    <w:rsid w:val="007218B8"/>
    <w:rsid w:val="00755C6A"/>
    <w:rsid w:val="00785FDE"/>
    <w:rsid w:val="00794B84"/>
    <w:rsid w:val="007A0351"/>
    <w:rsid w:val="007A14BC"/>
    <w:rsid w:val="007C1025"/>
    <w:rsid w:val="007E6845"/>
    <w:rsid w:val="007F5F8A"/>
    <w:rsid w:val="00826CA1"/>
    <w:rsid w:val="00835B7F"/>
    <w:rsid w:val="00855E3A"/>
    <w:rsid w:val="00882985"/>
    <w:rsid w:val="0090516C"/>
    <w:rsid w:val="00922CB9"/>
    <w:rsid w:val="009350F7"/>
    <w:rsid w:val="009B526F"/>
    <w:rsid w:val="009C1AFD"/>
    <w:rsid w:val="009D4BFB"/>
    <w:rsid w:val="00A25D82"/>
    <w:rsid w:val="00A26421"/>
    <w:rsid w:val="00A4293B"/>
    <w:rsid w:val="00A47B03"/>
    <w:rsid w:val="00A83BD5"/>
    <w:rsid w:val="00A977DF"/>
    <w:rsid w:val="00AE6A23"/>
    <w:rsid w:val="00AF4774"/>
    <w:rsid w:val="00B06CA5"/>
    <w:rsid w:val="00B10481"/>
    <w:rsid w:val="00B13FCF"/>
    <w:rsid w:val="00B16440"/>
    <w:rsid w:val="00B41F61"/>
    <w:rsid w:val="00B55332"/>
    <w:rsid w:val="00B621E4"/>
    <w:rsid w:val="00B86E8C"/>
    <w:rsid w:val="00BE1A00"/>
    <w:rsid w:val="00C068F1"/>
    <w:rsid w:val="00C22CF0"/>
    <w:rsid w:val="00C23E1C"/>
    <w:rsid w:val="00C56C72"/>
    <w:rsid w:val="00C75D81"/>
    <w:rsid w:val="00CA6457"/>
    <w:rsid w:val="00CC4442"/>
    <w:rsid w:val="00CC6E4D"/>
    <w:rsid w:val="00D17F2E"/>
    <w:rsid w:val="00D46194"/>
    <w:rsid w:val="00E01293"/>
    <w:rsid w:val="00E027D1"/>
    <w:rsid w:val="00E33ADB"/>
    <w:rsid w:val="00E769FE"/>
    <w:rsid w:val="00EA1A16"/>
    <w:rsid w:val="00EA2CBE"/>
    <w:rsid w:val="00EE7B05"/>
    <w:rsid w:val="00EF3FFA"/>
    <w:rsid w:val="00F32FEE"/>
    <w:rsid w:val="00F44691"/>
    <w:rsid w:val="00F53E69"/>
    <w:rsid w:val="1336109A"/>
    <w:rsid w:val="135F183C"/>
    <w:rsid w:val="1EC43757"/>
    <w:rsid w:val="22D32D14"/>
    <w:rsid w:val="37176FFF"/>
    <w:rsid w:val="5B6412C7"/>
    <w:rsid w:val="69E92F38"/>
    <w:rsid w:val="77C308EA"/>
    <w:rsid w:val="7CAC775A"/>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7"/>
    <w:unhideWhenUsed/>
    <w:qFormat/>
    <w:uiPriority w:val="99"/>
    <w:rPr>
      <w:rFonts w:ascii="宋体"/>
      <w:sz w:val="18"/>
      <w:szCs w:val="18"/>
    </w:rPr>
  </w:style>
  <w:style w:type="paragraph" w:styleId="12">
    <w:name w:val="Balloon Text"/>
    <w:basedOn w:val="1"/>
    <w:link w:val="48"/>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5"/>
    <w:qFormat/>
    <w:uiPriority w:val="11"/>
    <w:rPr>
      <w:rFonts w:asciiTheme="majorHAnsi" w:hAnsiTheme="majorHAnsi" w:eastAsiaTheme="majorEastAsia"/>
      <w:sz w:val="24"/>
      <w:szCs w:val="24"/>
    </w:rPr>
  </w:style>
  <w:style w:type="paragraph" w:customStyle="1" w:styleId="33">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引用1"/>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customStyle="1" w:styleId="37">
    <w:name w:val="明显引用1"/>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不明显强调1"/>
    <w:qFormat/>
    <w:uiPriority w:val="19"/>
    <w:rPr>
      <w:i/>
      <w:color w:val="595959" w:themeColor="text1" w:themeTint="A5"/>
    </w:rPr>
  </w:style>
  <w:style w:type="character" w:customStyle="1" w:styleId="40">
    <w:name w:val="明显强调1"/>
    <w:basedOn w:val="18"/>
    <w:qFormat/>
    <w:uiPriority w:val="21"/>
    <w:rPr>
      <w:b/>
      <w:i/>
      <w:sz w:val="24"/>
      <w:szCs w:val="24"/>
      <w:u w:val="single"/>
    </w:rPr>
  </w:style>
  <w:style w:type="character" w:customStyle="1" w:styleId="41">
    <w:name w:val="不明显参考1"/>
    <w:basedOn w:val="18"/>
    <w:qFormat/>
    <w:uiPriority w:val="31"/>
    <w:rPr>
      <w:sz w:val="24"/>
      <w:szCs w:val="24"/>
      <w:u w:val="single"/>
    </w:rPr>
  </w:style>
  <w:style w:type="character" w:customStyle="1" w:styleId="42">
    <w:name w:val="明显参考1"/>
    <w:basedOn w:val="18"/>
    <w:qFormat/>
    <w:uiPriority w:val="32"/>
    <w:rPr>
      <w:b/>
      <w:sz w:val="24"/>
      <w:u w:val="single"/>
    </w:rPr>
  </w:style>
  <w:style w:type="character" w:customStyle="1" w:styleId="43">
    <w:name w:val="书籍标题1"/>
    <w:basedOn w:val="18"/>
    <w:qFormat/>
    <w:uiPriority w:val="33"/>
    <w:rPr>
      <w:rFonts w:asciiTheme="majorHAnsi" w:hAnsiTheme="majorHAnsi" w:eastAsiaTheme="majorEastAsia"/>
      <w:b/>
      <w:i/>
      <w:sz w:val="24"/>
      <w:szCs w:val="24"/>
    </w:rPr>
  </w:style>
  <w:style w:type="paragraph" w:customStyle="1" w:styleId="44">
    <w:name w:val="TOC 标题1"/>
    <w:basedOn w:val="2"/>
    <w:next w:val="1"/>
    <w:unhideWhenUsed/>
    <w:qFormat/>
    <w:uiPriority w:val="39"/>
    <w:pPr>
      <w:outlineLvl w:val="9"/>
    </w:pPr>
    <w:rPr>
      <w:lang w:eastAsia="en-US" w:bidi="en-US"/>
    </w:rPr>
  </w:style>
  <w:style w:type="character" w:customStyle="1" w:styleId="45">
    <w:name w:val="页眉 Char"/>
    <w:basedOn w:val="18"/>
    <w:link w:val="14"/>
    <w:qFormat/>
    <w:uiPriority w:val="99"/>
    <w:rPr>
      <w:rFonts w:ascii="Calibri" w:hAnsi="Calibri" w:eastAsia="宋体"/>
      <w:kern w:val="2"/>
      <w:sz w:val="18"/>
      <w:szCs w:val="18"/>
    </w:rPr>
  </w:style>
  <w:style w:type="character" w:customStyle="1" w:styleId="46">
    <w:name w:val="页脚 Char"/>
    <w:basedOn w:val="18"/>
    <w:link w:val="13"/>
    <w:qFormat/>
    <w:uiPriority w:val="99"/>
    <w:rPr>
      <w:rFonts w:ascii="Calibri" w:hAnsi="Calibri" w:eastAsia="宋体"/>
      <w:kern w:val="2"/>
      <w:sz w:val="18"/>
      <w:szCs w:val="18"/>
    </w:rPr>
  </w:style>
  <w:style w:type="character" w:customStyle="1" w:styleId="47">
    <w:name w:val="文档结构图 Char"/>
    <w:basedOn w:val="18"/>
    <w:link w:val="11"/>
    <w:semiHidden/>
    <w:qFormat/>
    <w:uiPriority w:val="99"/>
    <w:rPr>
      <w:rFonts w:ascii="宋体" w:hAnsi="Times New Roman" w:eastAsia="宋体"/>
      <w:kern w:val="2"/>
      <w:sz w:val="18"/>
      <w:szCs w:val="18"/>
    </w:rPr>
  </w:style>
  <w:style w:type="character" w:customStyle="1" w:styleId="48">
    <w:name w:val="批注框文本 Char"/>
    <w:basedOn w:val="18"/>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Template>
  <Company>塔县财政局</Company>
  <Pages>4</Pages>
  <Words>188</Words>
  <Characters>1077</Characters>
  <Lines>8</Lines>
  <Paragraphs>2</Paragraphs>
  <TotalTime>0</TotalTime>
  <ScaleCrop>false</ScaleCrop>
  <LinksUpToDate>false</LinksUpToDate>
  <CharactersWithSpaces>1263</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2019-09-21T12:09:10Z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